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73388" w14:textId="0944B927" w:rsidR="000E59EB" w:rsidRPr="002034EA" w:rsidRDefault="000E59EB" w:rsidP="000E59EB">
      <w:r w:rsidRPr="002034EA">
        <w:rPr>
          <w:b/>
          <w:bCs/>
        </w:rPr>
        <w:t>Speaker</w:t>
      </w:r>
      <w:r w:rsidR="00B30DE5">
        <w:rPr>
          <w:b/>
          <w:bCs/>
        </w:rPr>
        <w:t xml:space="preserve"> 1</w:t>
      </w:r>
      <w:r w:rsidRPr="002034EA">
        <w:t xml:space="preserve">: </w:t>
      </w:r>
      <w:r w:rsidR="007C4F8F" w:rsidRPr="007C4F8F">
        <w:t xml:space="preserve">Inmaculada </w:t>
      </w:r>
      <w:r w:rsidR="007C4F8F">
        <w:t xml:space="preserve">C. </w:t>
      </w:r>
      <w:r w:rsidR="007C4F8F" w:rsidRPr="007C4F8F">
        <w:t>Sorribes (Merck &amp; Co., Inc., Rahway, NJ, USA)</w:t>
      </w:r>
    </w:p>
    <w:p w14:paraId="28AC9C52" w14:textId="4FFCA869" w:rsidR="009E62B6" w:rsidRPr="002034EA" w:rsidRDefault="00DD12E3">
      <w:r w:rsidRPr="002034EA">
        <w:rPr>
          <w:b/>
          <w:bCs/>
        </w:rPr>
        <w:t>Title</w:t>
      </w:r>
      <w:r w:rsidRPr="002034EA">
        <w:t xml:space="preserve">: </w:t>
      </w:r>
      <w:r w:rsidR="002A5122" w:rsidRPr="002034EA">
        <w:t>Fit-for-Purpose Modeling in Immuno-Oncology: A Practical Guide to Data and Quantitative Tools Across the Pipeline, featuring a Case Study on novel T Cell Engagers</w:t>
      </w:r>
    </w:p>
    <w:p w14:paraId="1EAF1EE5" w14:textId="422497A0" w:rsidR="00794EA6" w:rsidRPr="002034EA" w:rsidRDefault="005C47E7" w:rsidP="00015923">
      <w:r w:rsidRPr="002034EA">
        <w:rPr>
          <w:b/>
          <w:bCs/>
        </w:rPr>
        <w:t>Abstract</w:t>
      </w:r>
      <w:r w:rsidRPr="002034EA">
        <w:t xml:space="preserve">: </w:t>
      </w:r>
      <w:r w:rsidR="002034EA" w:rsidRPr="002034EA">
        <w:rPr>
          <w:shd w:val="clear" w:color="auto" w:fill="FFFFFF"/>
        </w:rPr>
        <w:t xml:space="preserve">The development of T cell engagers (TCEs) in immuno-oncology </w:t>
      </w:r>
      <w:r w:rsidR="00E717E8">
        <w:rPr>
          <w:shd w:val="clear" w:color="auto" w:fill="FFFFFF"/>
        </w:rPr>
        <w:t>can leverage</w:t>
      </w:r>
      <w:r w:rsidR="002034EA" w:rsidRPr="002034EA">
        <w:rPr>
          <w:shd w:val="clear" w:color="auto" w:fill="FFFFFF"/>
        </w:rPr>
        <w:t xml:space="preserve"> fit-for-purpose modeling strategy that aligns quantitative tools with the key decisions guiding the development pipeline</w:t>
      </w:r>
      <w:r w:rsidR="000E59EB">
        <w:rPr>
          <w:shd w:val="clear" w:color="auto" w:fill="FFFFFF"/>
        </w:rPr>
        <w:t xml:space="preserve">. In </w:t>
      </w:r>
      <w:r w:rsidR="002034EA" w:rsidRPr="002034EA">
        <w:rPr>
          <w:shd w:val="clear" w:color="auto" w:fill="FFFFFF"/>
        </w:rPr>
        <w:t>preclinical and first-in-human stages, mechanistic PKPD models translate in vitro</w:t>
      </w:r>
      <w:r w:rsidR="00E73F13">
        <w:rPr>
          <w:shd w:val="clear" w:color="auto" w:fill="FFFFFF"/>
        </w:rPr>
        <w:t xml:space="preserve"> and in vivo</w:t>
      </w:r>
      <w:r w:rsidR="002034EA" w:rsidRPr="002034EA">
        <w:rPr>
          <w:shd w:val="clear" w:color="auto" w:fill="FFFFFF"/>
        </w:rPr>
        <w:t xml:space="preserve"> data into predictions of safe, biologically active starting doses by characterizing trimolecular synapse formation \cite{chen2024}. As programs progress toward a recommended Phase 2 dose,</w:t>
      </w:r>
      <w:r w:rsidR="00F37258">
        <w:rPr>
          <w:shd w:val="clear" w:color="auto" w:fill="FFFFFF"/>
        </w:rPr>
        <w:t xml:space="preserve"> population PK modeling coupled with</w:t>
      </w:r>
      <w:r w:rsidR="002034EA" w:rsidRPr="002034EA">
        <w:rPr>
          <w:shd w:val="clear" w:color="auto" w:fill="FFFFFF"/>
        </w:rPr>
        <w:t xml:space="preserve"> </w:t>
      </w:r>
      <w:r w:rsidR="009012B2">
        <w:rPr>
          <w:shd w:val="clear" w:color="auto" w:fill="FFFFFF"/>
        </w:rPr>
        <w:t>e</w:t>
      </w:r>
      <w:r w:rsidR="009012B2" w:rsidRPr="009012B2">
        <w:rPr>
          <w:shd w:val="clear" w:color="auto" w:fill="FFFFFF"/>
        </w:rPr>
        <w:t>xposure–response</w:t>
      </w:r>
      <w:r w:rsidR="0027509E">
        <w:rPr>
          <w:shd w:val="clear" w:color="auto" w:fill="FFFFFF"/>
        </w:rPr>
        <w:t xml:space="preserve"> (ER)</w:t>
      </w:r>
      <w:r w:rsidR="009012B2" w:rsidRPr="009012B2">
        <w:rPr>
          <w:shd w:val="clear" w:color="auto" w:fill="FFFFFF"/>
        </w:rPr>
        <w:t xml:space="preserve"> analyses continue to be widely used to support monotherapy. However, TCE</w:t>
      </w:r>
      <w:r w:rsidR="009012B2">
        <w:rPr>
          <w:shd w:val="clear" w:color="auto" w:fill="FFFFFF"/>
        </w:rPr>
        <w:t xml:space="preserve"> ef</w:t>
      </w:r>
      <w:r w:rsidR="009012B2" w:rsidRPr="009012B2">
        <w:rPr>
          <w:shd w:val="clear" w:color="auto" w:fill="FFFFFF"/>
        </w:rPr>
        <w:t xml:space="preserve">ficacy is primarily driven by trimer formation, so Quantitative Systems Pharmacology (QSP) models that explicitly predict trimer dynamics provide additional mechanistic insight. </w:t>
      </w:r>
      <w:r w:rsidR="0027509E" w:rsidRPr="0027509E">
        <w:rPr>
          <w:shd w:val="clear" w:color="auto" w:fill="FFFFFF"/>
        </w:rPr>
        <w:t>QSP integrates drug properties, tumor microenvironment, and the immune system</w:t>
      </w:r>
      <w:r w:rsidR="009012B2" w:rsidRPr="009012B2">
        <w:rPr>
          <w:shd w:val="clear" w:color="auto" w:fill="FFFFFF"/>
        </w:rPr>
        <w:t xml:space="preserve"> to predict interactions, optimize dosing regimens and schedules, and identify determinants of safety and efficacy. Modern QSP platforms</w:t>
      </w:r>
      <w:r w:rsidR="0027509E" w:rsidRPr="0027509E">
        <w:rPr>
          <w:shd w:val="clear" w:color="auto" w:fill="FFFFFF"/>
        </w:rPr>
        <w:t>—</w:t>
      </w:r>
      <w:r w:rsidR="009012B2" w:rsidRPr="009012B2">
        <w:rPr>
          <w:shd w:val="clear" w:color="auto" w:fill="FFFFFF"/>
        </w:rPr>
        <w:t>often including 'digital twin' virtual patients</w:t>
      </w:r>
      <w:r w:rsidR="0027509E" w:rsidRPr="0027509E">
        <w:rPr>
          <w:shd w:val="clear" w:color="auto" w:fill="FFFFFF"/>
        </w:rPr>
        <w:t>—</w:t>
      </w:r>
      <w:r w:rsidR="009012B2" w:rsidRPr="009012B2">
        <w:rPr>
          <w:shd w:val="clear" w:color="auto" w:fill="FFFFFF"/>
        </w:rPr>
        <w:t xml:space="preserve">simulate these multiscale </w:t>
      </w:r>
      <w:r w:rsidR="0027509E">
        <w:rPr>
          <w:shd w:val="clear" w:color="auto" w:fill="FFFFFF"/>
        </w:rPr>
        <w:t>dynamics</w:t>
      </w:r>
      <w:r w:rsidR="009012B2" w:rsidRPr="009012B2">
        <w:rPr>
          <w:shd w:val="clear" w:color="auto" w:fill="FFFFFF"/>
        </w:rPr>
        <w:t xml:space="preserve"> and apply global sensitivity analysis to reveal parameters governing cytokine peaks, attenuation dynamics, bell</w:t>
      </w:r>
      <w:r w:rsidR="009012B2" w:rsidRPr="009012B2">
        <w:rPr>
          <w:shd w:val="clear" w:color="auto" w:fill="FFFFFF"/>
        </w:rPr>
        <w:noBreakHyphen/>
        <w:t xml:space="preserve">shaped </w:t>
      </w:r>
      <w:r w:rsidR="0027509E">
        <w:rPr>
          <w:shd w:val="clear" w:color="auto" w:fill="FFFFFF"/>
        </w:rPr>
        <w:t>ER</w:t>
      </w:r>
      <w:r w:rsidR="009012B2" w:rsidRPr="009012B2">
        <w:rPr>
          <w:shd w:val="clear" w:color="auto" w:fill="FFFFFF"/>
        </w:rPr>
        <w:t xml:space="preserve"> relationships, and efficacy plateaus</w:t>
      </w:r>
      <w:r w:rsidR="00E73F13">
        <w:rPr>
          <w:shd w:val="clear" w:color="auto" w:fill="FFFFFF"/>
        </w:rPr>
        <w:t xml:space="preserve"> \cite{</w:t>
      </w:r>
      <w:r w:rsidR="00E73F13" w:rsidRPr="00E73F13">
        <w:rPr>
          <w:shd w:val="clear" w:color="auto" w:fill="FFFFFF"/>
        </w:rPr>
        <w:t>Singh2024</w:t>
      </w:r>
      <w:r w:rsidR="00E73F13">
        <w:rPr>
          <w:shd w:val="clear" w:color="auto" w:fill="FFFFFF"/>
        </w:rPr>
        <w:t>}</w:t>
      </w:r>
      <w:r w:rsidR="009012B2" w:rsidRPr="009012B2">
        <w:rPr>
          <w:shd w:val="clear" w:color="auto" w:fill="FFFFFF"/>
        </w:rPr>
        <w:t>.</w:t>
      </w:r>
      <w:r w:rsidR="009012B2">
        <w:rPr>
          <w:shd w:val="clear" w:color="auto" w:fill="FFFFFF"/>
        </w:rPr>
        <w:t xml:space="preserve"> </w:t>
      </w:r>
      <w:r w:rsidR="0027509E">
        <w:rPr>
          <w:shd w:val="clear" w:color="auto" w:fill="FFFFFF"/>
        </w:rPr>
        <w:t>These insights enable</w:t>
      </w:r>
      <w:r w:rsidR="002034EA" w:rsidRPr="002034EA">
        <w:rPr>
          <w:shd w:val="clear" w:color="auto" w:fill="FFFFFF"/>
        </w:rPr>
        <w:t xml:space="preserve"> CRS risk</w:t>
      </w:r>
      <w:r w:rsidR="0027509E">
        <w:rPr>
          <w:shd w:val="clear" w:color="auto" w:fill="FFFFFF"/>
        </w:rPr>
        <w:t xml:space="preserve"> mitigation</w:t>
      </w:r>
      <w:r w:rsidR="002034EA" w:rsidRPr="002034EA">
        <w:rPr>
          <w:shd w:val="clear" w:color="auto" w:fill="FFFFFF"/>
        </w:rPr>
        <w:t xml:space="preserve">, rational step-up dosing, and dose escalation, as </w:t>
      </w:r>
      <w:r w:rsidR="0027509E">
        <w:rPr>
          <w:shd w:val="clear" w:color="auto" w:fill="FFFFFF"/>
        </w:rPr>
        <w:t>illustrated</w:t>
      </w:r>
      <w:r w:rsidR="002034EA" w:rsidRPr="002034EA">
        <w:rPr>
          <w:shd w:val="clear" w:color="auto" w:fill="FFFFFF"/>
        </w:rPr>
        <w:t xml:space="preserve"> with mosunetuzumab</w:t>
      </w:r>
      <w:r w:rsidR="00DB7EF9">
        <w:rPr>
          <w:shd w:val="clear" w:color="auto" w:fill="FFFFFF"/>
        </w:rPr>
        <w:t xml:space="preserve"> or elranatamab \cite{</w:t>
      </w:r>
      <w:r w:rsidR="00DB7EF9" w:rsidRPr="00DB7EF9">
        <w:rPr>
          <w:shd w:val="clear" w:color="auto" w:fill="FFFFFF"/>
        </w:rPr>
        <w:t>poels2025</w:t>
      </w:r>
      <w:r w:rsidR="00DB7EF9">
        <w:rPr>
          <w:shd w:val="clear" w:color="auto" w:fill="FFFFFF"/>
        </w:rPr>
        <w:t>}</w:t>
      </w:r>
      <w:r w:rsidR="002034EA" w:rsidRPr="002034EA">
        <w:rPr>
          <w:shd w:val="clear" w:color="auto" w:fill="FFFFFF"/>
        </w:rPr>
        <w:t xml:space="preserve">. </w:t>
      </w:r>
      <w:r w:rsidR="00CA6B23" w:rsidRPr="00CA6B23">
        <w:rPr>
          <w:shd w:val="clear" w:color="auto" w:fill="FFFFFF"/>
        </w:rPr>
        <w:t xml:space="preserve">For </w:t>
      </w:r>
      <w:r w:rsidR="00CA6B23">
        <w:rPr>
          <w:shd w:val="clear" w:color="auto" w:fill="FFFFFF"/>
        </w:rPr>
        <w:t>late stage (</w:t>
      </w:r>
      <w:r w:rsidR="00CA6B23" w:rsidRPr="00CA6B23">
        <w:rPr>
          <w:shd w:val="clear" w:color="auto" w:fill="FFFFFF"/>
        </w:rPr>
        <w:t xml:space="preserve">Phase </w:t>
      </w:r>
      <w:r w:rsidR="000E59EB">
        <w:rPr>
          <w:shd w:val="clear" w:color="auto" w:fill="FFFFFF"/>
        </w:rPr>
        <w:t>2</w:t>
      </w:r>
      <w:r w:rsidR="00CA6B23" w:rsidRPr="00CA6B23">
        <w:rPr>
          <w:shd w:val="clear" w:color="auto" w:fill="FFFFFF"/>
        </w:rPr>
        <w:t>b/</w:t>
      </w:r>
      <w:r w:rsidR="000E59EB">
        <w:rPr>
          <w:shd w:val="clear" w:color="auto" w:fill="FFFFFF"/>
        </w:rPr>
        <w:t>3</w:t>
      </w:r>
      <w:r w:rsidR="00CA6B23">
        <w:rPr>
          <w:shd w:val="clear" w:color="auto" w:fill="FFFFFF"/>
        </w:rPr>
        <w:t>)</w:t>
      </w:r>
      <w:r w:rsidR="00CA6B23" w:rsidRPr="00CA6B23">
        <w:rPr>
          <w:shd w:val="clear" w:color="auto" w:fill="FFFFFF"/>
        </w:rPr>
        <w:t xml:space="preserve">, QSP </w:t>
      </w:r>
      <w:r w:rsidR="0037058A">
        <w:rPr>
          <w:shd w:val="clear" w:color="auto" w:fill="FFFFFF"/>
        </w:rPr>
        <w:t>can support</w:t>
      </w:r>
      <w:r w:rsidR="00CA6B23" w:rsidRPr="00CA6B23">
        <w:rPr>
          <w:shd w:val="clear" w:color="auto" w:fill="FFFFFF"/>
        </w:rPr>
        <w:t xml:space="preserve"> dose and regimen optimization, predicts combination and safety outcomes, guides enrichment and trial design, and supports regulatory interactions by translating mechanistic data into decision</w:t>
      </w:r>
      <w:r w:rsidR="00CA6B23" w:rsidRPr="00CA6B23">
        <w:rPr>
          <w:shd w:val="clear" w:color="auto" w:fill="FFFFFF"/>
        </w:rPr>
        <w:noBreakHyphen/>
        <w:t>ready simulations</w:t>
      </w:r>
      <w:r w:rsidR="00CA6B23">
        <w:rPr>
          <w:shd w:val="clear" w:color="auto" w:fill="FFFFFF"/>
        </w:rPr>
        <w:t xml:space="preserve">. </w:t>
      </w:r>
      <w:r w:rsidR="005C2C6D" w:rsidRPr="002034EA">
        <w:rPr>
          <w:shd w:val="clear" w:color="auto" w:fill="FFFFFF"/>
        </w:rPr>
        <w:t xml:space="preserve">QSP frameworks also guide combination therapy dose selection by quantifying synergy and therapeutic index boundaries \cite{jafar2023}. </w:t>
      </w:r>
      <w:r w:rsidR="00E717E8">
        <w:rPr>
          <w:shd w:val="clear" w:color="auto" w:fill="FFFFFF"/>
        </w:rPr>
        <w:t xml:space="preserve">Other techniques, such as </w:t>
      </w:r>
      <w:r w:rsidR="002034EA" w:rsidRPr="002034EA">
        <w:rPr>
          <w:shd w:val="clear" w:color="auto" w:fill="FFFFFF"/>
        </w:rPr>
        <w:t>Physiologically based pharmacokinetic (PBPK) models</w:t>
      </w:r>
      <w:r w:rsidR="00E717E8">
        <w:rPr>
          <w:shd w:val="clear" w:color="auto" w:fill="FFFFFF"/>
        </w:rPr>
        <w:t>,</w:t>
      </w:r>
      <w:r w:rsidR="002034EA" w:rsidRPr="002034EA">
        <w:rPr>
          <w:shd w:val="clear" w:color="auto" w:fill="FFFFFF"/>
        </w:rPr>
        <w:t xml:space="preserve"> further support development by evaluating drug–drug interaction risk. </w:t>
      </w:r>
      <w:r w:rsidR="00937AA8">
        <w:rPr>
          <w:shd w:val="clear" w:color="auto" w:fill="FFFFFF"/>
        </w:rPr>
        <w:t>Overall, r</w:t>
      </w:r>
      <w:r w:rsidR="002034EA" w:rsidRPr="002034EA">
        <w:rPr>
          <w:shd w:val="clear" w:color="auto" w:fill="FFFFFF"/>
        </w:rPr>
        <w:t>egulatory agencies increasingly recognize these model-informed approaches as supportive in dose justification and benefit–risk evaluation \cite{musante2024}. This talk will highlight these methods, the decisions they enable, and key agency feedback through case studies of novel T cell engagers.</w:t>
      </w:r>
    </w:p>
    <w:p w14:paraId="1B334461" w14:textId="77777777" w:rsidR="002034EA" w:rsidRDefault="002034EA">
      <w:pPr>
        <w:rPr>
          <w:b/>
          <w:bCs/>
        </w:rPr>
      </w:pPr>
      <w:r>
        <w:rPr>
          <w:b/>
          <w:bCs/>
        </w:rPr>
        <w:br w:type="page"/>
      </w:r>
    </w:p>
    <w:p w14:paraId="437ADFAD" w14:textId="1C69A031" w:rsidR="003376C6" w:rsidRPr="002034EA" w:rsidRDefault="00214B4A" w:rsidP="003376C6">
      <w:r w:rsidRPr="002034EA">
        <w:rPr>
          <w:b/>
          <w:bCs/>
        </w:rPr>
        <w:lastRenderedPageBreak/>
        <w:t>References</w:t>
      </w:r>
      <w:r w:rsidRPr="002034EA">
        <w:t>:</w:t>
      </w:r>
    </w:p>
    <w:p w14:paraId="1A878AB9" w14:textId="195F6D06" w:rsidR="002034EA" w:rsidRPr="002034EA" w:rsidRDefault="002034EA" w:rsidP="002034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034EA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@article{musante2024,</w:t>
      </w:r>
    </w:p>
    <w:p w14:paraId="5CE1AC0E" w14:textId="77777777" w:rsidR="002034EA" w:rsidRPr="002034EA" w:rsidRDefault="002034EA" w:rsidP="002034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034EA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title={Landscape of regulatory quantitative systems pharmacology submissions to the U.S. Food and Drug Administration: An update report},</w:t>
      </w:r>
    </w:p>
    <w:p w14:paraId="58926E8D" w14:textId="77777777" w:rsidR="002034EA" w:rsidRPr="002034EA" w:rsidRDefault="002034EA" w:rsidP="002034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034EA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author={Musante, Cynthia J and Earp, Justin C and Betts, Alison and Bult-Ito, Gabrielle J and Clark, Timothy and Gieschke, Ronald and Gurbaxani, Brian and Hallow, K Michael and Ivanovic, Maja and Jafar, Muhammad and Ke, Alice and Lled{\'o}-Garc{\'\i}a, Roc{\'\i}o and Penney, Mark and Phipps, Andrew and Popel, Aleksander S and Riggs, Matthew M and Schuck, Virna and Stites, Edward C and van der Graaf, Piet H and Vicini, Paolo and Wu, Frank and Yu, Hao and Zhao, Ping and Zhou, Hao},</w:t>
      </w:r>
    </w:p>
    <w:p w14:paraId="04A7EC6C" w14:textId="77777777" w:rsidR="002034EA" w:rsidRPr="002034EA" w:rsidRDefault="002034EA" w:rsidP="002034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034EA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journal={Clinical Pharmacology \&amp; Therapeutics},</w:t>
      </w:r>
    </w:p>
    <w:p w14:paraId="39258C81" w14:textId="77777777" w:rsidR="002034EA" w:rsidRPr="002034EA" w:rsidRDefault="002034EA" w:rsidP="002034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034EA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year={2024},</w:t>
      </w:r>
    </w:p>
    <w:p w14:paraId="708BFD36" w14:textId="77777777" w:rsidR="002034EA" w:rsidRPr="002034EA" w:rsidRDefault="002034EA" w:rsidP="002034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034EA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publisher={Wiley Online Library}</w:t>
      </w:r>
    </w:p>
    <w:p w14:paraId="457E0457" w14:textId="77777777" w:rsidR="002034EA" w:rsidRPr="002034EA" w:rsidRDefault="002034EA" w:rsidP="002034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034EA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}</w:t>
      </w:r>
    </w:p>
    <w:p w14:paraId="2E662C0E" w14:textId="77777777" w:rsidR="002034EA" w:rsidRPr="002034EA" w:rsidRDefault="002034EA" w:rsidP="002034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20B4E290" w14:textId="7CE64349" w:rsidR="002034EA" w:rsidRPr="002034EA" w:rsidRDefault="002034EA" w:rsidP="002034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034EA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@article{jafar2023,</w:t>
      </w:r>
    </w:p>
    <w:p w14:paraId="5664811B" w14:textId="77777777" w:rsidR="002034EA" w:rsidRPr="002034EA" w:rsidRDefault="002034EA" w:rsidP="002034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034EA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title={Using quantitative systems pharmacology modeling to optimize combination therapy of anti-PD-L1 checkpoint inhibitor and T cell engager},</w:t>
      </w:r>
    </w:p>
    <w:p w14:paraId="68B9DDFF" w14:textId="77777777" w:rsidR="002034EA" w:rsidRPr="002034EA" w:rsidRDefault="002034EA" w:rsidP="002034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034EA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author={Jafar, Muhammad and Chen, Xinyi and Penney, Mark and Singh, Ishan},</w:t>
      </w:r>
    </w:p>
    <w:p w14:paraId="3D865CC6" w14:textId="77777777" w:rsidR="002034EA" w:rsidRPr="00B771E8" w:rsidRDefault="002034EA" w:rsidP="002034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fr-FR"/>
          <w14:ligatures w14:val="none"/>
        </w:rPr>
      </w:pPr>
      <w:r w:rsidRPr="002034EA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</w:t>
      </w:r>
      <w:r w:rsidRPr="00B771E8">
        <w:rPr>
          <w:rFonts w:ascii="Courier New" w:eastAsia="Times New Roman" w:hAnsi="Courier New" w:cs="Courier New"/>
          <w:kern w:val="0"/>
          <w:sz w:val="20"/>
          <w:szCs w:val="20"/>
          <w:lang w:val="fr-FR"/>
          <w14:ligatures w14:val="none"/>
        </w:rPr>
        <w:t>journal={Frontiers in Pharmacology},</w:t>
      </w:r>
    </w:p>
    <w:p w14:paraId="66A1E94D" w14:textId="77777777" w:rsidR="002034EA" w:rsidRPr="00B771E8" w:rsidRDefault="002034EA" w:rsidP="002034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fr-FR"/>
          <w14:ligatures w14:val="none"/>
        </w:rPr>
      </w:pPr>
      <w:r w:rsidRPr="00B771E8">
        <w:rPr>
          <w:rFonts w:ascii="Courier New" w:eastAsia="Times New Roman" w:hAnsi="Courier New" w:cs="Courier New"/>
          <w:kern w:val="0"/>
          <w:sz w:val="20"/>
          <w:szCs w:val="20"/>
          <w:lang w:val="fr-FR"/>
          <w14:ligatures w14:val="none"/>
        </w:rPr>
        <w:t xml:space="preserve">  volume={14},</w:t>
      </w:r>
    </w:p>
    <w:p w14:paraId="6C8012DA" w14:textId="77777777" w:rsidR="002034EA" w:rsidRPr="00B771E8" w:rsidRDefault="002034EA" w:rsidP="002034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fr-FR"/>
          <w14:ligatures w14:val="none"/>
        </w:rPr>
      </w:pPr>
      <w:r w:rsidRPr="00B771E8">
        <w:rPr>
          <w:rFonts w:ascii="Courier New" w:eastAsia="Times New Roman" w:hAnsi="Courier New" w:cs="Courier New"/>
          <w:kern w:val="0"/>
          <w:sz w:val="20"/>
          <w:szCs w:val="20"/>
          <w:lang w:val="fr-FR"/>
          <w14:ligatures w14:val="none"/>
        </w:rPr>
        <w:t xml:space="preserve">  pages={1163432},</w:t>
      </w:r>
    </w:p>
    <w:p w14:paraId="086013E9" w14:textId="77777777" w:rsidR="002034EA" w:rsidRPr="002034EA" w:rsidRDefault="002034EA" w:rsidP="002034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B771E8">
        <w:rPr>
          <w:rFonts w:ascii="Courier New" w:eastAsia="Times New Roman" w:hAnsi="Courier New" w:cs="Courier New"/>
          <w:kern w:val="0"/>
          <w:sz w:val="20"/>
          <w:szCs w:val="20"/>
          <w:lang w:val="fr-FR"/>
          <w14:ligatures w14:val="none"/>
        </w:rPr>
        <w:t xml:space="preserve">  </w:t>
      </w:r>
      <w:r w:rsidRPr="002034EA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year={2023},</w:t>
      </w:r>
    </w:p>
    <w:p w14:paraId="68E87588" w14:textId="77777777" w:rsidR="002034EA" w:rsidRPr="002034EA" w:rsidRDefault="002034EA" w:rsidP="002034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034EA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publisher={Frontiers Media SA},</w:t>
      </w:r>
    </w:p>
    <w:p w14:paraId="38F1E2D6" w14:textId="77777777" w:rsidR="002034EA" w:rsidRPr="002034EA" w:rsidRDefault="002034EA" w:rsidP="002034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034EA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doi={10.3389/fphar.2023.1163432},</w:t>
      </w:r>
    </w:p>
    <w:p w14:paraId="3297EBF5" w14:textId="77777777" w:rsidR="002034EA" w:rsidRPr="002034EA" w:rsidRDefault="002034EA" w:rsidP="002034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034EA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note={PMCID: PMC10229810}</w:t>
      </w:r>
    </w:p>
    <w:p w14:paraId="0943E309" w14:textId="77777777" w:rsidR="002034EA" w:rsidRPr="002034EA" w:rsidRDefault="002034EA" w:rsidP="002034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034EA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}</w:t>
      </w:r>
    </w:p>
    <w:p w14:paraId="0C697942" w14:textId="77777777" w:rsidR="002034EA" w:rsidRPr="002034EA" w:rsidRDefault="002034EA" w:rsidP="002034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2FEC36F3" w14:textId="292B0390" w:rsidR="0027509E" w:rsidRPr="002034EA" w:rsidRDefault="0027509E" w:rsidP="002750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034EA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@article{chen2024,</w:t>
      </w:r>
    </w:p>
    <w:p w14:paraId="1404C8F2" w14:textId="77777777" w:rsidR="0027509E" w:rsidRPr="002034EA" w:rsidRDefault="0027509E" w:rsidP="002750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034EA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title={Development of Bispecific T Cell Engagers: Harnessing Quantitative Systems Pharmacology},</w:t>
      </w:r>
    </w:p>
    <w:p w14:paraId="169D9607" w14:textId="77777777" w:rsidR="0027509E" w:rsidRPr="002034EA" w:rsidRDefault="0027509E" w:rsidP="002750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034EA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author={Chen, X and Jafar, M and Singh, I and Penney, M},</w:t>
      </w:r>
    </w:p>
    <w:p w14:paraId="3691412B" w14:textId="77777777" w:rsidR="0027509E" w:rsidRPr="002034EA" w:rsidRDefault="0027509E" w:rsidP="002750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034EA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journal={Clinical Pharmacology \&amp; Therapeutics},</w:t>
      </w:r>
    </w:p>
    <w:p w14:paraId="7D7DD20E" w14:textId="77777777" w:rsidR="0027509E" w:rsidRPr="002034EA" w:rsidRDefault="0027509E" w:rsidP="002750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034EA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volume={115},</w:t>
      </w:r>
    </w:p>
    <w:p w14:paraId="5EF04F35" w14:textId="77777777" w:rsidR="0027509E" w:rsidRPr="002034EA" w:rsidRDefault="0027509E" w:rsidP="002750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034EA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number={2},</w:t>
      </w:r>
    </w:p>
    <w:p w14:paraId="441B824A" w14:textId="77777777" w:rsidR="0027509E" w:rsidRPr="002034EA" w:rsidRDefault="0027509E" w:rsidP="002750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034EA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pages={349--359},</w:t>
      </w:r>
    </w:p>
    <w:p w14:paraId="6E622925" w14:textId="77777777" w:rsidR="0027509E" w:rsidRPr="002034EA" w:rsidRDefault="0027509E" w:rsidP="002750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034EA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year={2024},</w:t>
      </w:r>
    </w:p>
    <w:p w14:paraId="46D16F98" w14:textId="77777777" w:rsidR="0027509E" w:rsidRPr="002034EA" w:rsidRDefault="0027509E" w:rsidP="002750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034EA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publisher={Wiley Online Library},</w:t>
      </w:r>
    </w:p>
    <w:p w14:paraId="6BB2FD7F" w14:textId="77777777" w:rsidR="0027509E" w:rsidRPr="002034EA" w:rsidRDefault="0027509E" w:rsidP="002750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034EA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doi={10.1002/cpt.3090},</w:t>
      </w:r>
    </w:p>
    <w:p w14:paraId="4CB3E4D3" w14:textId="77777777" w:rsidR="0027509E" w:rsidRPr="002034EA" w:rsidRDefault="0027509E" w:rsidP="002750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034EA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note={PMID: 37941259; PMCID: PMC10843027}</w:t>
      </w:r>
    </w:p>
    <w:p w14:paraId="2C5E5DE0" w14:textId="77777777" w:rsidR="0027509E" w:rsidRPr="002034EA" w:rsidRDefault="0027509E" w:rsidP="002750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034EA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}</w:t>
      </w:r>
    </w:p>
    <w:p w14:paraId="607DE850" w14:textId="77777777" w:rsidR="00DB7EF9" w:rsidRPr="002034EA" w:rsidRDefault="00DB7EF9" w:rsidP="002034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14:ligatures w14:val="none"/>
        </w:rPr>
      </w:pPr>
    </w:p>
    <w:p w14:paraId="6EA580C6" w14:textId="6111BB5B" w:rsidR="00E73F13" w:rsidRDefault="00E73F13" w:rsidP="00DB7E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E73F1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@article{Singh2024, author = {Singh, Fulya Akpinar and Afzal, Nasrin and Smithline, Shepard J. and Thalhauser, Craig J.}, title = {Assessing the performance of QSP models: biology as the driver for validation}, journal = {Journal of Pharmacokinetics and Pharmacodynamics}, year = {2024}, month = {oct}, volume = {51}, number = {5}, pages = {533--542}, doi = {10.1007/s10928-023-09871-x}, url = {</w:t>
      </w:r>
      <w:hyperlink r:id="rId7" w:tgtFrame="_blank" w:history="1">
        <w:r w:rsidRPr="00E73F13">
          <w:rPr>
            <w:rStyle w:val="Hyperlink"/>
            <w:rFonts w:ascii="Courier New" w:eastAsia="Times New Roman" w:hAnsi="Courier New" w:cs="Courier New"/>
            <w:kern w:val="0"/>
            <w:sz w:val="20"/>
            <w:szCs w:val="20"/>
            <w14:ligatures w14:val="none"/>
          </w:rPr>
          <w:t>https://doi.org/10.1007/s10928-023-09871-x}</w:t>
        </w:r>
      </w:hyperlink>
      <w:r w:rsidRPr="00E73F1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, issn = {1573-8744}, note = {Published 2024-10-01}, keywords = {QSP, model validation} }</w:t>
      </w:r>
    </w:p>
    <w:p w14:paraId="40AC26F6" w14:textId="77777777" w:rsidR="00E73F13" w:rsidRDefault="00E73F13" w:rsidP="00DB7E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4F2F7706" w14:textId="77777777" w:rsidR="00E73F13" w:rsidRDefault="00E73F13" w:rsidP="00DB7E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2A1C831F" w14:textId="28B04BFF" w:rsidR="00DB7EF9" w:rsidRPr="00DB7EF9" w:rsidRDefault="00DB7EF9" w:rsidP="00DB7E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B7EF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@article{poels2025,</w:t>
      </w:r>
    </w:p>
    <w:p w14:paraId="22DF0D09" w14:textId="77777777" w:rsidR="00DB7EF9" w:rsidRPr="00DB7EF9" w:rsidRDefault="00DB7EF9" w:rsidP="00DB7E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B7EF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lastRenderedPageBreak/>
        <w:t xml:space="preserve">  author = {Poels, Kamrine E. and Singh, Ishan and Jafar, Muhammad and Chen, Xinyi and Nalda, Marc and Parra-Guillen, Zinnia P. and van der Graaf, Piet H. and Penney, Mark},</w:t>
      </w:r>
    </w:p>
    <w:p w14:paraId="6203E4C4" w14:textId="77777777" w:rsidR="00DB7EF9" w:rsidRPr="00DB7EF9" w:rsidRDefault="00DB7EF9" w:rsidP="00DB7E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B7EF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title = {Leveraging Quantitative Systems Pharmacology modeling for elranatamab regimen optimization in relapsed or refractory multiple myeloma},</w:t>
      </w:r>
    </w:p>
    <w:p w14:paraId="4A6C0C84" w14:textId="77777777" w:rsidR="00DB7EF9" w:rsidRPr="00DB7EF9" w:rsidRDefault="00DB7EF9" w:rsidP="00DB7E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B7EF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journal = {npj Systems Biology and Applications},</w:t>
      </w:r>
    </w:p>
    <w:p w14:paraId="2E291193" w14:textId="77777777" w:rsidR="00DB7EF9" w:rsidRPr="00DB7EF9" w:rsidRDefault="00DB7EF9" w:rsidP="00DB7E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B7EF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volume = {11},</w:t>
      </w:r>
    </w:p>
    <w:p w14:paraId="78940446" w14:textId="77777777" w:rsidR="00DB7EF9" w:rsidRPr="00DB7EF9" w:rsidRDefault="00DB7EF9" w:rsidP="00DB7E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B7EF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number = {1},</w:t>
      </w:r>
    </w:p>
    <w:p w14:paraId="6174E365" w14:textId="77777777" w:rsidR="00DB7EF9" w:rsidRPr="00DB7EF9" w:rsidRDefault="00DB7EF9" w:rsidP="00DB7E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B7EF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pages = {102},</w:t>
      </w:r>
    </w:p>
    <w:p w14:paraId="5C447E2B" w14:textId="77777777" w:rsidR="00DB7EF9" w:rsidRPr="00DB7EF9" w:rsidRDefault="00DB7EF9" w:rsidP="00DB7E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B7EF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year = {2025},</w:t>
      </w:r>
    </w:p>
    <w:p w14:paraId="4AA927B7" w14:textId="77777777" w:rsidR="00DB7EF9" w:rsidRPr="00DB7EF9" w:rsidRDefault="00DB7EF9" w:rsidP="00DB7E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B7EF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month = {sep},</w:t>
      </w:r>
    </w:p>
    <w:p w14:paraId="56656721" w14:textId="77777777" w:rsidR="00DB7EF9" w:rsidRPr="00B771E8" w:rsidRDefault="00DB7EF9" w:rsidP="00DB7E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B7EF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</w:t>
      </w:r>
      <w:r w:rsidRPr="00B771E8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doi = {10.1038/s41540-025-00585-z},</w:t>
      </w:r>
    </w:p>
    <w:p w14:paraId="0B323A0E" w14:textId="77777777" w:rsidR="00DB7EF9" w:rsidRPr="00B771E8" w:rsidRDefault="00DB7EF9" w:rsidP="00DB7E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B771E8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url = {https://www.nature.com/articles/s41540-025-00585-z}</w:t>
      </w:r>
    </w:p>
    <w:p w14:paraId="20E9CF21" w14:textId="77777777" w:rsidR="00DB7EF9" w:rsidRPr="00DB7EF9" w:rsidRDefault="00DB7EF9" w:rsidP="00DB7E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14:ligatures w14:val="none"/>
        </w:rPr>
      </w:pPr>
      <w:r w:rsidRPr="00DB7EF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}</w:t>
      </w:r>
    </w:p>
    <w:p w14:paraId="52B62452" w14:textId="77777777" w:rsidR="00DD12E3" w:rsidRDefault="00DD12E3"/>
    <w:sectPr w:rsidR="00DD12E3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4A77E" w14:textId="77777777" w:rsidR="00DD12E3" w:rsidRDefault="00DD12E3" w:rsidP="00DD12E3">
      <w:pPr>
        <w:spacing w:after="0" w:line="240" w:lineRule="auto"/>
      </w:pPr>
      <w:r>
        <w:separator/>
      </w:r>
    </w:p>
  </w:endnote>
  <w:endnote w:type="continuationSeparator" w:id="0">
    <w:p w14:paraId="5E0C5211" w14:textId="77777777" w:rsidR="00DD12E3" w:rsidRDefault="00DD12E3" w:rsidP="00DD1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66E0B" w14:textId="77777777" w:rsidR="00DD12E3" w:rsidRDefault="00DD12E3" w:rsidP="00DD12E3">
      <w:pPr>
        <w:spacing w:after="0" w:line="240" w:lineRule="auto"/>
      </w:pPr>
      <w:r>
        <w:separator/>
      </w:r>
    </w:p>
  </w:footnote>
  <w:footnote w:type="continuationSeparator" w:id="0">
    <w:p w14:paraId="5BF15D2F" w14:textId="77777777" w:rsidR="00DD12E3" w:rsidRDefault="00DD12E3" w:rsidP="00DD1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5FD22" w14:textId="263FCBAD" w:rsidR="00DD12E3" w:rsidRDefault="00DD12E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756F48" wp14:editId="52A120F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78535" cy="405765"/>
              <wp:effectExtent l="0" t="0" r="12065" b="13335"/>
              <wp:wrapNone/>
              <wp:docPr id="525371832" name="Text Box 2" descr="Proprietar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853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DB8B49" w14:textId="7F7B21F1" w:rsidR="00DD12E3" w:rsidRPr="00DD12E3" w:rsidRDefault="00DD12E3" w:rsidP="00DD12E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B294"/>
                            </w:rPr>
                          </w:pPr>
                          <w:r w:rsidRPr="00DD12E3">
                            <w:rPr>
                              <w:rFonts w:ascii="Aptos" w:eastAsia="Aptos" w:hAnsi="Aptos" w:cs="Aptos"/>
                              <w:noProof/>
                              <w:color w:val="00B294"/>
                            </w:rPr>
                            <w:t>Proprietary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756F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prietary" style="position:absolute;margin-left:0;margin-top:0;width:77.05pt;height:31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" filled="f" stroked="f">
              <v:textbox style="mso-fit-shape-to-text:t" inset="20pt,15pt,0,0">
                <w:txbxContent>
                  <w:p w14:paraId="16DB8B49" w14:textId="7F7B21F1" w:rsidR="00DD12E3" w:rsidRPr="00DD12E3" w:rsidRDefault="00DD12E3" w:rsidP="00DD12E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B294"/>
                      </w:rPr>
                    </w:pPr>
                    <w:r w:rsidRPr="00DD12E3">
                      <w:rPr>
                        <w:rFonts w:ascii="Aptos" w:eastAsia="Aptos" w:hAnsi="Aptos" w:cs="Aptos"/>
                        <w:noProof/>
                        <w:color w:val="00B294"/>
                      </w:rPr>
                      <w:t>Proprietary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D7846" w14:textId="36955DA0" w:rsidR="00DD12E3" w:rsidRDefault="00DD12E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B35A489" wp14:editId="30C95012">
              <wp:simplePos x="91440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978535" cy="405765"/>
              <wp:effectExtent l="0" t="0" r="12065" b="13335"/>
              <wp:wrapNone/>
              <wp:docPr id="362948713" name="Text Box 3" descr="Proprietar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853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8AE90F" w14:textId="491B8D5C" w:rsidR="00DD12E3" w:rsidRPr="00DD12E3" w:rsidRDefault="00DD12E3" w:rsidP="00DD12E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B294"/>
                            </w:rPr>
                          </w:pPr>
                          <w:r w:rsidRPr="00DD12E3">
                            <w:rPr>
                              <w:rFonts w:ascii="Aptos" w:eastAsia="Aptos" w:hAnsi="Aptos" w:cs="Aptos"/>
                              <w:noProof/>
                              <w:color w:val="00B294"/>
                            </w:rPr>
                            <w:t>Proprietary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35A48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oprietary" style="position:absolute;margin-left:0;margin-top:0;width:77.05pt;height:31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" filled="f" stroked="f">
              <v:textbox style="mso-fit-shape-to-text:t" inset="20pt,15pt,0,0">
                <w:txbxContent>
                  <w:p w14:paraId="018AE90F" w14:textId="491B8D5C" w:rsidR="00DD12E3" w:rsidRPr="00DD12E3" w:rsidRDefault="00DD12E3" w:rsidP="00DD12E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B294"/>
                      </w:rPr>
                    </w:pPr>
                    <w:r w:rsidRPr="00DD12E3">
                      <w:rPr>
                        <w:rFonts w:ascii="Aptos" w:eastAsia="Aptos" w:hAnsi="Aptos" w:cs="Aptos"/>
                        <w:noProof/>
                        <w:color w:val="00B294"/>
                      </w:rPr>
                      <w:t>Proprietary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A25C9" w14:textId="5AC57395" w:rsidR="00DD12E3" w:rsidRDefault="00DD12E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3EFF112" wp14:editId="6468186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78535" cy="405765"/>
              <wp:effectExtent l="0" t="0" r="12065" b="13335"/>
              <wp:wrapNone/>
              <wp:docPr id="983650605" name="Text Box 1" descr="Proprietar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853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2679E7" w14:textId="451F55FB" w:rsidR="00DD12E3" w:rsidRPr="00DD12E3" w:rsidRDefault="00DD12E3" w:rsidP="00DD12E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B294"/>
                            </w:rPr>
                          </w:pPr>
                          <w:r w:rsidRPr="00DD12E3">
                            <w:rPr>
                              <w:rFonts w:ascii="Aptos" w:eastAsia="Aptos" w:hAnsi="Aptos" w:cs="Aptos"/>
                              <w:noProof/>
                              <w:color w:val="00B294"/>
                            </w:rPr>
                            <w:t>Proprietary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FF11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roprietary" style="position:absolute;margin-left:0;margin-top:0;width:77.05pt;height:31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" filled="f" stroked="f">
              <v:textbox style="mso-fit-shape-to-text:t" inset="20pt,15pt,0,0">
                <w:txbxContent>
                  <w:p w14:paraId="1E2679E7" w14:textId="451F55FB" w:rsidR="00DD12E3" w:rsidRPr="00DD12E3" w:rsidRDefault="00DD12E3" w:rsidP="00DD12E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B294"/>
                      </w:rPr>
                    </w:pPr>
                    <w:r w:rsidRPr="00DD12E3">
                      <w:rPr>
                        <w:rFonts w:ascii="Aptos" w:eastAsia="Aptos" w:hAnsi="Aptos" w:cs="Aptos"/>
                        <w:noProof/>
                        <w:color w:val="00B294"/>
                      </w:rPr>
                      <w:t>Proprietary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50D38"/>
    <w:multiLevelType w:val="multilevel"/>
    <w:tmpl w:val="A4AE2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9734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E3"/>
    <w:rsid w:val="00015923"/>
    <w:rsid w:val="00082D9C"/>
    <w:rsid w:val="000A2813"/>
    <w:rsid w:val="000E59EB"/>
    <w:rsid w:val="00104945"/>
    <w:rsid w:val="001A405B"/>
    <w:rsid w:val="002034EA"/>
    <w:rsid w:val="00214B4A"/>
    <w:rsid w:val="0027509E"/>
    <w:rsid w:val="002A5122"/>
    <w:rsid w:val="002B36D8"/>
    <w:rsid w:val="003376C6"/>
    <w:rsid w:val="0037058A"/>
    <w:rsid w:val="003C4CE0"/>
    <w:rsid w:val="00533439"/>
    <w:rsid w:val="00536BF2"/>
    <w:rsid w:val="0053728A"/>
    <w:rsid w:val="00567AD9"/>
    <w:rsid w:val="005737E0"/>
    <w:rsid w:val="005C2C6D"/>
    <w:rsid w:val="005C47E7"/>
    <w:rsid w:val="005F3633"/>
    <w:rsid w:val="007736F3"/>
    <w:rsid w:val="00793A48"/>
    <w:rsid w:val="00794EA6"/>
    <w:rsid w:val="007C4F8F"/>
    <w:rsid w:val="00836D95"/>
    <w:rsid w:val="009012B2"/>
    <w:rsid w:val="00926BDE"/>
    <w:rsid w:val="00937AA8"/>
    <w:rsid w:val="009A0709"/>
    <w:rsid w:val="009A22F4"/>
    <w:rsid w:val="009C3ADF"/>
    <w:rsid w:val="009E62B6"/>
    <w:rsid w:val="009F4C0F"/>
    <w:rsid w:val="00A2202D"/>
    <w:rsid w:val="00B30DE5"/>
    <w:rsid w:val="00B771E8"/>
    <w:rsid w:val="00BD5262"/>
    <w:rsid w:val="00C46AEE"/>
    <w:rsid w:val="00CA6B23"/>
    <w:rsid w:val="00CA7419"/>
    <w:rsid w:val="00CD008B"/>
    <w:rsid w:val="00D604CF"/>
    <w:rsid w:val="00DB7EF9"/>
    <w:rsid w:val="00DD12E3"/>
    <w:rsid w:val="00E07126"/>
    <w:rsid w:val="00E717E8"/>
    <w:rsid w:val="00E73F13"/>
    <w:rsid w:val="00E95537"/>
    <w:rsid w:val="00EC488F"/>
    <w:rsid w:val="00EC4EC4"/>
    <w:rsid w:val="00EF416D"/>
    <w:rsid w:val="00F26195"/>
    <w:rsid w:val="00F3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556F25A"/>
  <w15:chartTrackingRefBased/>
  <w15:docId w15:val="{A9ADE821-2D7C-46D1-ADC8-73B828B5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1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2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2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2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2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2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2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2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2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2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2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2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2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2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2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2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2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D1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2E3"/>
  </w:style>
  <w:style w:type="paragraph" w:styleId="NormalWeb">
    <w:name w:val="Normal (Web)"/>
    <w:basedOn w:val="Normal"/>
    <w:uiPriority w:val="99"/>
    <w:semiHidden/>
    <w:unhideWhenUsed/>
    <w:rsid w:val="005C47E7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14B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B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6AEE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77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1E8"/>
  </w:style>
  <w:style w:type="character" w:styleId="CommentReference">
    <w:name w:val="annotation reference"/>
    <w:basedOn w:val="DefaultParagraphFont"/>
    <w:uiPriority w:val="99"/>
    <w:semiHidden/>
    <w:unhideWhenUsed/>
    <w:rsid w:val="00B771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71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71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1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1E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36B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1007/s10928-023-09871-x%7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686</Words>
  <Characters>4619</Characters>
  <Application>Microsoft Office Word</Application>
  <DocSecurity>0</DocSecurity>
  <Lines>102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Sorribes, Inma</dc:creator>
  <cp:keywords/>
  <dc:description/>
  <cp:lastModifiedBy>Sorribes, Inma</cp:lastModifiedBy>
  <cp:revision>4</cp:revision>
  <dcterms:created xsi:type="dcterms:W3CDTF">2026-03-24T18:11:00Z</dcterms:created>
  <dcterms:modified xsi:type="dcterms:W3CDTF">2026-03-24T18:19:00Z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3aa1512d,1f5089b8,15a22869</vt:lpwstr>
  </property>
  <property fmtid="{D5CDD505-2E9C-101B-9397-08002B2CF9AE}" pid="3" name="ClassificationContentMarkingHeaderFontProps">
    <vt:lpwstr>#00b294,12,Aptos</vt:lpwstr>
  </property>
  <property fmtid="{D5CDD505-2E9C-101B-9397-08002B2CF9AE}" pid="4" name="ClassificationContentMarkingHeaderText">
    <vt:lpwstr>Proprietary</vt:lpwstr>
  </property>
  <property fmtid="{D5CDD505-2E9C-101B-9397-08002B2CF9AE}" pid="5" name="MSIP_Label_927fd646-07cb-4c4e-a107-4e4d6b30ba1b_Enabled">
    <vt:lpwstr>true</vt:lpwstr>
  </property>
  <property fmtid="{D5CDD505-2E9C-101B-9397-08002B2CF9AE}" pid="6" name="MSIP_Label_927fd646-07cb-4c4e-a107-4e4d6b30ba1b_SetDate">
    <vt:lpwstr>2026-03-11T21:00:42Z</vt:lpwstr>
  </property>
  <property fmtid="{D5CDD505-2E9C-101B-9397-08002B2CF9AE}" pid="7" name="MSIP_Label_927fd646-07cb-4c4e-a107-4e4d6b30ba1b_Method">
    <vt:lpwstr>Privileged</vt:lpwstr>
  </property>
  <property fmtid="{D5CDD505-2E9C-101B-9397-08002B2CF9AE}" pid="8" name="MSIP_Label_927fd646-07cb-4c4e-a107-4e4d6b30ba1b_Name">
    <vt:lpwstr>927fd646-07cb-4c4e-a107-4e4d6b30ba1b</vt:lpwstr>
  </property>
  <property fmtid="{D5CDD505-2E9C-101B-9397-08002B2CF9AE}" pid="9" name="MSIP_Label_927fd646-07cb-4c4e-a107-4e4d6b30ba1b_SiteId">
    <vt:lpwstr>a00de4ec-48a8-43a6-be74-e31274e2060d</vt:lpwstr>
  </property>
  <property fmtid="{D5CDD505-2E9C-101B-9397-08002B2CF9AE}" pid="10" name="MSIP_Label_927fd646-07cb-4c4e-a107-4e4d6b30ba1b_ActionId">
    <vt:lpwstr>8abac91b-d324-40c6-bee6-b52c4c320377</vt:lpwstr>
  </property>
  <property fmtid="{D5CDD505-2E9C-101B-9397-08002B2CF9AE}" pid="11" name="MSIP_Label_927fd646-07cb-4c4e-a107-4e4d6b30ba1b_ContentBits">
    <vt:lpwstr>1</vt:lpwstr>
  </property>
  <property fmtid="{D5CDD505-2E9C-101B-9397-08002B2CF9AE}" pid="12" name="MSIP_Label_927fd646-07cb-4c4e-a107-4e4d6b30ba1b_Tag">
    <vt:lpwstr>10, 0, 1, 1</vt:lpwstr>
  </property>
  <property fmtid="{D5CDD505-2E9C-101B-9397-08002B2CF9AE}" pid="13" name="_AdHocReviewCycleID">
    <vt:i4>-1788114540</vt:i4>
  </property>
  <property fmtid="{D5CDD505-2E9C-101B-9397-08002B2CF9AE}" pid="14" name="_NewReviewCycle">
    <vt:lpwstr/>
  </property>
  <property fmtid="{D5CDD505-2E9C-101B-9397-08002B2CF9AE}" pid="15" name="_EmailSubject">
    <vt:lpwstr>[Indico] ECMTB'26 Minisymposium Acceptance notification (#118)</vt:lpwstr>
  </property>
  <property fmtid="{D5CDD505-2E9C-101B-9397-08002B2CF9AE}" pid="16" name="_AuthorEmail">
    <vt:lpwstr>inma.sorribes@merck.com</vt:lpwstr>
  </property>
  <property fmtid="{D5CDD505-2E9C-101B-9397-08002B2CF9AE}" pid="17" name="_AuthorEmailDisplayName">
    <vt:lpwstr>Sorribes, Inma</vt:lpwstr>
  </property>
  <property fmtid="{D5CDD505-2E9C-101B-9397-08002B2CF9AE}" pid="18" name="_PreviousAdHocReviewCycleID">
    <vt:i4>1335880629</vt:i4>
  </property>
</Properties>
</file>